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D4F0E" w14:textId="77777777" w:rsidR="006D7687" w:rsidRPr="00901620" w:rsidRDefault="006D7687" w:rsidP="006D7687">
      <w:pPr>
        <w:spacing w:before="0" w:after="0"/>
        <w:jc w:val="center"/>
        <w:rPr>
          <w:rFonts w:ascii="Times New Roman" w:hAnsi="Times New Roman"/>
          <w:b/>
          <w:bCs/>
          <w:i/>
          <w:iCs/>
          <w:snapToGrid/>
          <w:sz w:val="28"/>
          <w:szCs w:val="28"/>
          <w:lang w:val="en-GB" w:eastAsia="en-GB"/>
        </w:rPr>
      </w:pPr>
      <w:r>
        <w:rPr>
          <w:rFonts w:ascii="Times New Roman" w:hAnsi="Times New Roman"/>
          <w:b/>
          <w:bCs/>
          <w:smallCaps/>
          <w:snapToGrid/>
          <w:sz w:val="28"/>
          <w:szCs w:val="28"/>
          <w:lang w:val="en-GB" w:eastAsia="en-GB"/>
        </w:rPr>
        <w:t>SUPPLY</w:t>
      </w:r>
      <w:r w:rsidRPr="00901620">
        <w:rPr>
          <w:rFonts w:ascii="Times New Roman" w:hAnsi="Times New Roman"/>
          <w:b/>
          <w:bCs/>
          <w:smallCaps/>
          <w:snapToGrid/>
          <w:sz w:val="28"/>
          <w:szCs w:val="28"/>
          <w:lang w:val="en-GB" w:eastAsia="en-GB"/>
        </w:rPr>
        <w:t xml:space="preserve"> FRAMEWORK CONTRACT</w:t>
      </w:r>
    </w:p>
    <w:p w14:paraId="052E95F8" w14:textId="77777777" w:rsidR="006D7687" w:rsidRDefault="006D7687" w:rsidP="006D7687">
      <w:pPr>
        <w:spacing w:before="0" w:after="0"/>
        <w:jc w:val="center"/>
        <w:rPr>
          <w:rFonts w:ascii="Times New Roman" w:hAnsi="Times New Roman"/>
          <w:b/>
          <w:smallCaps/>
          <w:snapToGrid/>
          <w:color w:val="000000" w:themeColor="text1"/>
          <w:sz w:val="28"/>
          <w:szCs w:val="28"/>
          <w:lang w:val="en-GB" w:eastAsia="en-GB"/>
        </w:rPr>
      </w:pPr>
      <w:r w:rsidRPr="00901620">
        <w:rPr>
          <w:rFonts w:ascii="Times New Roman" w:hAnsi="Times New Roman"/>
          <w:b/>
          <w:smallCaps/>
          <w:snapToGrid/>
          <w:sz w:val="28"/>
          <w:szCs w:val="28"/>
          <w:highlight w:val="yellow"/>
          <w:lang w:val="en-GB" w:eastAsia="en-GB"/>
        </w:rPr>
        <w:t>DRAFT</w:t>
      </w:r>
      <w:r w:rsidRPr="00901620">
        <w:rPr>
          <w:rFonts w:ascii="Times New Roman" w:hAnsi="Times New Roman"/>
          <w:b/>
          <w:smallCaps/>
          <w:snapToGrid/>
          <w:sz w:val="28"/>
          <w:szCs w:val="28"/>
          <w:lang w:val="en-GB" w:eastAsia="en-GB"/>
        </w:rPr>
        <w:t xml:space="preserve"> S</w:t>
      </w:r>
      <w:r>
        <w:rPr>
          <w:rFonts w:ascii="Times New Roman" w:hAnsi="Times New Roman"/>
          <w:b/>
          <w:smallCaps/>
          <w:snapToGrid/>
          <w:sz w:val="28"/>
          <w:szCs w:val="28"/>
          <w:lang w:val="en-GB" w:eastAsia="en-GB"/>
        </w:rPr>
        <w:t xml:space="preserve">UPPLY </w:t>
      </w:r>
      <w:r w:rsidRPr="00901620">
        <w:rPr>
          <w:rFonts w:ascii="Times New Roman" w:hAnsi="Times New Roman"/>
          <w:b/>
          <w:smallCaps/>
          <w:snapToGrid/>
          <w:sz w:val="28"/>
          <w:szCs w:val="28"/>
          <w:lang w:val="en-GB" w:eastAsia="en-GB"/>
        </w:rPr>
        <w:t xml:space="preserve">FRAMEWORK CONTRACT FOR EUROPEAN UNION EXTERNAL </w:t>
      </w:r>
      <w:r w:rsidRPr="00901620">
        <w:rPr>
          <w:rFonts w:ascii="Times New Roman" w:hAnsi="Times New Roman"/>
          <w:b/>
          <w:smallCaps/>
          <w:snapToGrid/>
          <w:color w:val="000000" w:themeColor="text1"/>
          <w:sz w:val="28"/>
          <w:szCs w:val="28"/>
          <w:lang w:val="en-GB" w:eastAsia="en-GB"/>
        </w:rPr>
        <w:t>ACTIONS</w:t>
      </w:r>
    </w:p>
    <w:p w14:paraId="673C0250" w14:textId="77777777" w:rsidR="006D7687" w:rsidRPr="006D7687" w:rsidRDefault="006D7687" w:rsidP="006D7687">
      <w:pPr>
        <w:spacing w:before="0" w:after="0"/>
        <w:jc w:val="center"/>
        <w:rPr>
          <w:rFonts w:ascii="Times New Roman" w:hAnsi="Times New Roman"/>
          <w:b/>
          <w:bCs/>
          <w:smallCaps/>
          <w:snapToGrid/>
          <w:sz w:val="28"/>
          <w:szCs w:val="28"/>
          <w:lang w:val="en-GB" w:eastAsia="en-GB"/>
        </w:rPr>
      </w:pPr>
    </w:p>
    <w:p w14:paraId="0431B240" w14:textId="70EB17E0" w:rsidR="006D7687" w:rsidRPr="006D7687" w:rsidRDefault="006D7687" w:rsidP="006D7687">
      <w:pPr>
        <w:spacing w:before="0" w:after="0"/>
        <w:jc w:val="center"/>
        <w:rPr>
          <w:rFonts w:ascii="Times New Roman" w:hAnsi="Times New Roman"/>
          <w:b/>
          <w:bCs/>
          <w:smallCaps/>
          <w:snapToGrid/>
          <w:sz w:val="28"/>
          <w:szCs w:val="28"/>
          <w:lang w:val="en-GB" w:eastAsia="en-GB"/>
        </w:rPr>
      </w:pPr>
      <w:r w:rsidRPr="006D7687">
        <w:rPr>
          <w:rFonts w:ascii="Times New Roman" w:hAnsi="Times New Roman"/>
          <w:b/>
          <w:bCs/>
          <w:smallCaps/>
          <w:snapToGrid/>
          <w:sz w:val="28"/>
          <w:szCs w:val="28"/>
          <w:lang w:val="en-GB" w:eastAsia="en-GB"/>
        </w:rPr>
        <w:t>PROC/1416/25/Supply of Construction Materials no. 13</w:t>
      </w:r>
    </w:p>
    <w:p w14:paraId="018FE60B" w14:textId="77777777" w:rsidR="006D7687" w:rsidRPr="00901620" w:rsidRDefault="006D7687" w:rsidP="006D7687">
      <w:pPr>
        <w:spacing w:before="0" w:after="0"/>
        <w:jc w:val="center"/>
        <w:rPr>
          <w:rFonts w:ascii="Times New Roman" w:hAnsi="Times New Roman"/>
          <w:b/>
          <w:bCs/>
          <w:smallCaps/>
          <w:snapToGrid/>
          <w:sz w:val="28"/>
          <w:szCs w:val="28"/>
          <w:lang w:val="en-GB" w:eastAsia="en-GB"/>
        </w:rPr>
      </w:pPr>
    </w:p>
    <w:p w14:paraId="0878EE98" w14:textId="77777777" w:rsidR="006D7687" w:rsidRPr="00901620" w:rsidRDefault="006D7687" w:rsidP="006D7687">
      <w:pPr>
        <w:spacing w:before="0" w:after="0"/>
        <w:jc w:val="center"/>
        <w:rPr>
          <w:rFonts w:ascii="Times New Roman" w:hAnsi="Times New Roman"/>
          <w:b/>
          <w:bCs/>
          <w:smallCaps/>
          <w:snapToGrid/>
          <w:sz w:val="28"/>
          <w:szCs w:val="28"/>
          <w:lang w:val="en-GB" w:eastAsia="en-GB"/>
        </w:rPr>
      </w:pPr>
      <w:r w:rsidRPr="00901620">
        <w:rPr>
          <w:rFonts w:ascii="Times New Roman" w:hAnsi="Times New Roman"/>
          <w:b/>
          <w:bCs/>
          <w:smallCaps/>
          <w:snapToGrid/>
          <w:sz w:val="28"/>
          <w:szCs w:val="28"/>
          <w:lang w:val="en-GB" w:eastAsia="en-GB"/>
        </w:rPr>
        <w:t>financed from the general budget of the Union</w:t>
      </w:r>
    </w:p>
    <w:p w14:paraId="13BC4C5E" w14:textId="77777777" w:rsidR="00233848" w:rsidRPr="006D7687" w:rsidRDefault="00233848" w:rsidP="00844AAF">
      <w:pPr>
        <w:spacing w:before="0" w:after="480" w:line="259" w:lineRule="auto"/>
        <w:jc w:val="center"/>
        <w:rPr>
          <w:rFonts w:ascii="Times New Roman" w:hAnsi="Times New Roman"/>
          <w:b/>
          <w:bCs/>
          <w:snapToGrid/>
          <w:sz w:val="24"/>
          <w:szCs w:val="24"/>
          <w:lang w:val="en-GB" w:eastAsia="en-GB"/>
        </w:rPr>
      </w:pPr>
      <w:r w:rsidRPr="006D7687">
        <w:rPr>
          <w:rFonts w:ascii="Times New Roman" w:hAnsi="Times New Roman"/>
          <w:b/>
          <w:bCs/>
          <w:snapToGrid/>
          <w:sz w:val="24"/>
          <w:szCs w:val="24"/>
          <w:lang w:val="en-GB" w:eastAsia="en-GB"/>
        </w:rPr>
        <w:t>MAIN CONDITIONS</w:t>
      </w:r>
    </w:p>
    <w:p w14:paraId="1BE3931F" w14:textId="4568F04F" w:rsidR="00233848" w:rsidRPr="006D7687" w:rsidRDefault="00233848" w:rsidP="00844AAF">
      <w:pPr>
        <w:spacing w:before="0" w:after="240"/>
        <w:ind w:left="284" w:hanging="284"/>
        <w:jc w:val="both"/>
        <w:textAlignment w:val="baseline"/>
        <w:rPr>
          <w:rFonts w:ascii="Times New Roman" w:hAnsi="Times New Roman"/>
          <w:snapToGrid/>
          <w:sz w:val="24"/>
          <w:szCs w:val="24"/>
          <w:lang w:val="en-GB" w:eastAsia="en-GB"/>
        </w:rPr>
      </w:pPr>
      <w:r w:rsidRPr="006D7687">
        <w:rPr>
          <w:rFonts w:ascii="Times New Roman" w:hAnsi="Times New Roman"/>
          <w:snapToGrid/>
          <w:sz w:val="24"/>
          <w:szCs w:val="24"/>
          <w:lang w:val="en-GB" w:eastAsia="en-GB"/>
        </w:rPr>
        <w:t>1.</w:t>
      </w:r>
      <w:r w:rsidR="005271AC" w:rsidRPr="006D7687">
        <w:rPr>
          <w:rFonts w:ascii="Times New Roman" w:hAnsi="Times New Roman"/>
          <w:snapToGrid/>
          <w:sz w:val="24"/>
          <w:szCs w:val="24"/>
          <w:lang w:val="en-GB" w:eastAsia="en-GB"/>
        </w:rPr>
        <w:tab/>
      </w:r>
      <w:r w:rsidR="006D7687" w:rsidRPr="006D7687">
        <w:rPr>
          <w:rFonts w:ascii="Times New Roman" w:hAnsi="Times New Roman"/>
          <w:b/>
          <w:bCs/>
          <w:sz w:val="24"/>
          <w:szCs w:val="24"/>
        </w:rPr>
        <w:t>European Union Rule of Law Mission in Kosovo (EULEX</w:t>
      </w:r>
      <w:r w:rsidR="006D7687" w:rsidRPr="006D7687">
        <w:rPr>
          <w:rFonts w:ascii="Times New Roman" w:hAnsi="Times New Roman"/>
          <w:sz w:val="24"/>
          <w:szCs w:val="24"/>
        </w:rPr>
        <w:t>), with its address at Lidhja e Pëjes, Industrial Zone P.O. Box 268 10000 Pristina, Kosovo, represented by Head of Mission,</w:t>
      </w:r>
    </w:p>
    <w:p w14:paraId="497950FF" w14:textId="77777777" w:rsidR="006D7687" w:rsidRPr="006D7687" w:rsidRDefault="006D7687" w:rsidP="006D7687">
      <w:pPr>
        <w:spacing w:before="0" w:after="0" w:line="276" w:lineRule="auto"/>
        <w:jc w:val="both"/>
        <w:rPr>
          <w:rFonts w:ascii="Times New Roman" w:hAnsi="Times New Roman"/>
          <w:snapToGrid/>
          <w:color w:val="000000"/>
          <w:sz w:val="24"/>
          <w:szCs w:val="24"/>
          <w:shd w:val="clear" w:color="auto" w:fill="FFFFFF"/>
          <w:lang w:val="en-GB" w:eastAsia="en-GB"/>
        </w:rPr>
      </w:pPr>
      <w:r w:rsidRPr="006D7687">
        <w:rPr>
          <w:rFonts w:ascii="Times New Roman" w:hAnsi="Times New Roman"/>
          <w:snapToGrid/>
          <w:color w:val="000000"/>
          <w:sz w:val="24"/>
          <w:szCs w:val="24"/>
          <w:shd w:val="clear" w:color="auto" w:fill="FFFFFF"/>
          <w:lang w:val="en-GB" w:eastAsia="en-GB"/>
        </w:rPr>
        <w:t>of the one part, and </w:t>
      </w:r>
    </w:p>
    <w:p w14:paraId="4E25323C" w14:textId="77777777" w:rsidR="006D7687" w:rsidRPr="006D7687" w:rsidRDefault="006D7687" w:rsidP="006D7687">
      <w:pPr>
        <w:spacing w:before="0" w:after="0" w:line="276" w:lineRule="auto"/>
        <w:jc w:val="both"/>
        <w:rPr>
          <w:rFonts w:ascii="Times New Roman" w:hAnsi="Times New Roman"/>
          <w:strike/>
          <w:snapToGrid/>
          <w:sz w:val="24"/>
          <w:szCs w:val="24"/>
          <w:lang w:val="en-GB" w:eastAsia="en-GB"/>
        </w:rPr>
      </w:pPr>
    </w:p>
    <w:p w14:paraId="0404FB59" w14:textId="77777777" w:rsidR="006D7687" w:rsidRPr="006D7687" w:rsidRDefault="006D7687" w:rsidP="006D7687">
      <w:pPr>
        <w:spacing w:after="0" w:line="276" w:lineRule="auto"/>
        <w:jc w:val="both"/>
        <w:textAlignment w:val="baseline"/>
        <w:rPr>
          <w:rFonts w:ascii="Times New Roman" w:hAnsi="Times New Roman"/>
          <w:snapToGrid/>
          <w:sz w:val="24"/>
          <w:szCs w:val="24"/>
          <w:lang w:val="en-GB" w:eastAsia="en-GB"/>
        </w:rPr>
      </w:pPr>
      <w:r w:rsidRPr="006D7687">
        <w:rPr>
          <w:rFonts w:ascii="Times New Roman" w:hAnsi="Times New Roman"/>
          <w:b/>
          <w:bCs/>
          <w:snapToGrid/>
          <w:sz w:val="24"/>
          <w:szCs w:val="24"/>
          <w:lang w:val="en-GB" w:eastAsia="en-GB"/>
        </w:rPr>
        <w:t>2. [</w:t>
      </w:r>
      <w:r w:rsidRPr="006D7687">
        <w:rPr>
          <w:rFonts w:ascii="Times New Roman" w:hAnsi="Times New Roman"/>
          <w:b/>
          <w:bCs/>
          <w:i/>
          <w:iCs/>
          <w:snapToGrid/>
          <w:sz w:val="24"/>
          <w:szCs w:val="24"/>
          <w:shd w:val="clear" w:color="auto" w:fill="BFBFBF" w:themeFill="background1" w:themeFillShade="BF"/>
          <w:lang w:val="en-GB" w:eastAsia="en-GB"/>
        </w:rPr>
        <w:t>Contractor’s full official name</w:t>
      </w:r>
      <w:r w:rsidRPr="006D7687">
        <w:rPr>
          <w:rFonts w:ascii="Times New Roman" w:hAnsi="Times New Roman"/>
          <w:b/>
          <w:bCs/>
          <w:snapToGrid/>
          <w:sz w:val="24"/>
          <w:szCs w:val="24"/>
          <w:lang w:val="en-GB" w:eastAsia="en-GB"/>
        </w:rPr>
        <w:t>],</w:t>
      </w:r>
      <w:r w:rsidRPr="006D7687">
        <w:rPr>
          <w:rFonts w:ascii="Times New Roman" w:hAnsi="Times New Roman"/>
          <w:snapToGrid/>
          <w:sz w:val="24"/>
          <w:szCs w:val="24"/>
          <w:lang w:val="en-GB" w:eastAsia="en-GB"/>
        </w:rPr>
        <w:t xml:space="preserve"> legal form:………………….., registration number:</w:t>
      </w:r>
      <w:r w:rsidRPr="006D7687">
        <w:rPr>
          <w:rFonts w:ascii="Times New Roman" w:hAnsi="Times New Roman"/>
          <w:snapToGrid/>
          <w:sz w:val="24"/>
          <w:szCs w:val="24"/>
          <w:u w:val="single"/>
          <w:lang w:val="en-GB" w:eastAsia="en-GB"/>
        </w:rPr>
        <w:t xml:space="preserve"> </w:t>
      </w:r>
      <w:r w:rsidRPr="006D7687">
        <w:rPr>
          <w:rFonts w:ascii="Times New Roman" w:hAnsi="Times New Roman"/>
          <w:snapToGrid/>
          <w:sz w:val="24"/>
          <w:szCs w:val="24"/>
          <w:lang w:val="en-GB" w:eastAsia="en-GB"/>
        </w:rPr>
        <w:t xml:space="preserve">……………………….., official address:…………….….., VAT:……………………., (‘the contractor’), represented for the purposes of signing this contract by the authorised representative indicated in the respective field under “SIGNATURES” below, </w:t>
      </w:r>
      <w:r w:rsidRPr="006D7687">
        <w:rPr>
          <w:rFonts w:ascii="Times New Roman" w:hAnsi="Times New Roman"/>
          <w:b/>
          <w:bCs/>
          <w:snapToGrid/>
          <w:sz w:val="24"/>
          <w:szCs w:val="24"/>
          <w:lang w:val="en-GB" w:eastAsia="en-GB"/>
        </w:rPr>
        <w:t>(‘the contractor’)</w:t>
      </w:r>
    </w:p>
    <w:p w14:paraId="55B651B2" w14:textId="77777777" w:rsidR="006D7687" w:rsidRPr="006D7687" w:rsidRDefault="006D7687" w:rsidP="00844AAF">
      <w:pPr>
        <w:spacing w:before="0" w:after="240"/>
        <w:rPr>
          <w:rFonts w:ascii="Times New Roman" w:hAnsi="Times New Roman"/>
          <w:b/>
          <w:bCs/>
          <w:snapToGrid/>
          <w:sz w:val="24"/>
          <w:szCs w:val="24"/>
          <w:lang w:val="en-GB" w:eastAsia="en-GB"/>
        </w:rPr>
      </w:pPr>
    </w:p>
    <w:p w14:paraId="6FE435EE" w14:textId="2E60E177" w:rsidR="00233848" w:rsidRPr="006D7687" w:rsidRDefault="00233848" w:rsidP="00844AAF">
      <w:pPr>
        <w:spacing w:before="0" w:after="240"/>
        <w:rPr>
          <w:rFonts w:ascii="Times New Roman" w:hAnsi="Times New Roman"/>
          <w:b/>
          <w:bCs/>
          <w:snapToGrid/>
          <w:sz w:val="24"/>
          <w:szCs w:val="24"/>
          <w:lang w:val="en-GB" w:eastAsia="en-GB"/>
        </w:rPr>
      </w:pPr>
      <w:r w:rsidRPr="006D7687">
        <w:rPr>
          <w:rFonts w:ascii="Times New Roman" w:hAnsi="Times New Roman"/>
          <w:b/>
          <w:bCs/>
          <w:snapToGrid/>
          <w:sz w:val="24"/>
          <w:szCs w:val="24"/>
          <w:lang w:val="en-GB" w:eastAsia="en-GB"/>
        </w:rPr>
        <w:t>HAVE AGREED as follows:</w:t>
      </w:r>
    </w:p>
    <w:p w14:paraId="24D99EC9" w14:textId="30997721" w:rsidR="00233848" w:rsidRPr="006D7687"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6D7687">
        <w:rPr>
          <w:rFonts w:ascii="Times New Roman" w:hAnsi="Times New Roman"/>
          <w:b/>
          <w:bCs/>
          <w:snapToGrid/>
          <w:color w:val="000000"/>
          <w:sz w:val="24"/>
          <w:szCs w:val="24"/>
          <w:lang w:val="en-GB" w:eastAsia="fr-BE"/>
        </w:rPr>
        <w:t>1.</w:t>
      </w:r>
      <w:r w:rsidR="00533216" w:rsidRPr="006D7687">
        <w:rPr>
          <w:rFonts w:ascii="Times New Roman" w:hAnsi="Times New Roman"/>
          <w:b/>
          <w:bCs/>
          <w:snapToGrid/>
          <w:color w:val="000000"/>
          <w:sz w:val="24"/>
          <w:szCs w:val="24"/>
          <w:lang w:val="en-GB" w:eastAsia="fr-BE"/>
        </w:rPr>
        <w:tab/>
      </w:r>
      <w:r w:rsidRPr="006D7687">
        <w:rPr>
          <w:rFonts w:ascii="Times New Roman" w:hAnsi="Times New Roman"/>
          <w:b/>
          <w:bCs/>
          <w:snapToGrid/>
          <w:color w:val="000000"/>
          <w:sz w:val="24"/>
          <w:szCs w:val="24"/>
          <w:lang w:val="en-GB" w:eastAsia="fr-BE"/>
        </w:rPr>
        <w:t xml:space="preserve">Subject matter </w:t>
      </w:r>
    </w:p>
    <w:p w14:paraId="057579F2" w14:textId="6409103C" w:rsidR="006D7687" w:rsidRDefault="00233848" w:rsidP="006D7687">
      <w:pPr>
        <w:autoSpaceDE w:val="0"/>
        <w:autoSpaceDN w:val="0"/>
        <w:adjustRightInd w:val="0"/>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 “</w:t>
      </w:r>
      <w:r w:rsidR="006D7687" w:rsidRPr="006D7687">
        <w:rPr>
          <w:rFonts w:ascii="Times New Roman" w:hAnsi="Times New Roman"/>
          <w:snapToGrid/>
          <w:color w:val="000000"/>
          <w:sz w:val="24"/>
          <w:szCs w:val="24"/>
          <w:lang w:val="en-GB" w:eastAsia="fr-BE"/>
        </w:rPr>
        <w:t>Supply of Construction Materials no. 13</w:t>
      </w:r>
      <w:r w:rsidRPr="00233848">
        <w:rPr>
          <w:rFonts w:ascii="Times New Roman" w:hAnsi="Times New Roman"/>
          <w:snapToGrid/>
          <w:color w:val="000000"/>
          <w:sz w:val="24"/>
          <w:szCs w:val="24"/>
          <w:lang w:val="en-GB" w:eastAsia="fr-BE"/>
        </w:rPr>
        <w:t xml:space="preserve">” </w:t>
      </w:r>
      <w:r w:rsidR="006D7687" w:rsidRPr="00D96293">
        <w:rPr>
          <w:rFonts w:ascii="Times New Roman" w:hAnsi="Times New Roman"/>
          <w:snapToGrid/>
          <w:color w:val="000000"/>
          <w:sz w:val="24"/>
          <w:szCs w:val="24"/>
          <w:lang w:val="en-GB" w:eastAsia="fr-BE"/>
        </w:rPr>
        <w:t>d</w:t>
      </w:r>
      <w:r w:rsidR="006D7687">
        <w:rPr>
          <w:rFonts w:ascii="Times New Roman" w:hAnsi="Times New Roman"/>
          <w:snapToGrid/>
          <w:color w:val="000000"/>
          <w:sz w:val="24"/>
          <w:szCs w:val="24"/>
          <w:lang w:val="en-GB" w:eastAsia="fr-BE"/>
        </w:rPr>
        <w:t>i</w:t>
      </w:r>
      <w:r w:rsidR="006D7687" w:rsidRPr="00D96293">
        <w:rPr>
          <w:rFonts w:ascii="Times New Roman" w:hAnsi="Times New Roman"/>
          <w:snapToGrid/>
          <w:color w:val="000000"/>
          <w:sz w:val="24"/>
          <w:szCs w:val="24"/>
          <w:lang w:val="en-GB" w:eastAsia="fr-BE"/>
        </w:rPr>
        <w:t xml:space="preserve">vided into </w:t>
      </w:r>
      <w:r w:rsidR="006D7687">
        <w:rPr>
          <w:rFonts w:ascii="Times New Roman" w:hAnsi="Times New Roman"/>
          <w:snapToGrid/>
          <w:color w:val="000000"/>
          <w:sz w:val="24"/>
          <w:szCs w:val="24"/>
          <w:lang w:val="en-GB" w:eastAsia="fr-BE"/>
        </w:rPr>
        <w:t>6 (six)</w:t>
      </w:r>
      <w:r w:rsidR="006D7687" w:rsidRPr="00D96293">
        <w:rPr>
          <w:rFonts w:ascii="Times New Roman" w:hAnsi="Times New Roman"/>
          <w:snapToGrid/>
          <w:color w:val="000000"/>
          <w:sz w:val="24"/>
          <w:szCs w:val="24"/>
          <w:lang w:val="en-GB" w:eastAsia="fr-BE"/>
        </w:rPr>
        <w:t xml:space="preserve"> Lots as follows:</w:t>
      </w:r>
    </w:p>
    <w:tbl>
      <w:tblPr>
        <w:tblW w:w="8222" w:type="dxa"/>
        <w:tblInd w:w="675" w:type="dxa"/>
        <w:tblLook w:val="01E0" w:firstRow="1" w:lastRow="1" w:firstColumn="1" w:lastColumn="1" w:noHBand="0" w:noVBand="0"/>
      </w:tblPr>
      <w:tblGrid>
        <w:gridCol w:w="1674"/>
        <w:gridCol w:w="6548"/>
      </w:tblGrid>
      <w:tr w:rsidR="006D7687" w:rsidRPr="00860B0A" w14:paraId="0DAD77FF"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0E18D260" w14:textId="77777777" w:rsidR="006D7687" w:rsidRPr="00B31131" w:rsidRDefault="006D7687" w:rsidP="00B3479E">
            <w:pPr>
              <w:pStyle w:val="ListParagraph"/>
              <w:widowControl w:val="0"/>
              <w:spacing w:before="60" w:after="60"/>
              <w:ind w:left="567"/>
              <w:rPr>
                <w:rFonts w:ascii="Times New Roman" w:hAnsi="Times New Roman"/>
              </w:rPr>
            </w:pPr>
            <w:r w:rsidRPr="00B31131">
              <w:rPr>
                <w:rFonts w:ascii="Times New Roman" w:hAnsi="Times New Roman"/>
              </w:rPr>
              <w:t>Lot 1</w:t>
            </w:r>
          </w:p>
        </w:tc>
        <w:tc>
          <w:tcPr>
            <w:tcW w:w="6548" w:type="dxa"/>
            <w:tcBorders>
              <w:top w:val="single" w:sz="4" w:space="0" w:color="auto"/>
              <w:left w:val="single" w:sz="4" w:space="0" w:color="auto"/>
              <w:bottom w:val="single" w:sz="4" w:space="0" w:color="auto"/>
              <w:right w:val="single" w:sz="4" w:space="0" w:color="auto"/>
            </w:tcBorders>
          </w:tcPr>
          <w:p w14:paraId="694B6D50" w14:textId="77777777" w:rsidR="006D7687" w:rsidRPr="00860B0A" w:rsidRDefault="006D7687" w:rsidP="00B3479E">
            <w:pPr>
              <w:snapToGrid w:val="0"/>
              <w:spacing w:after="100" w:afterAutospacing="1"/>
              <w:jc w:val="center"/>
              <w:rPr>
                <w:rFonts w:ascii="Times New Roman" w:eastAsia="Calibri" w:hAnsi="Times New Roman"/>
                <w:sz w:val="24"/>
                <w:szCs w:val="24"/>
                <w:lang w:val="en-US"/>
              </w:rPr>
            </w:pPr>
            <w:r w:rsidRPr="00AC599B">
              <w:rPr>
                <w:rFonts w:ascii="Times New Roman" w:hAnsi="Times New Roman"/>
                <w:sz w:val="24"/>
                <w:szCs w:val="24"/>
                <w:lang w:val="en-US"/>
              </w:rPr>
              <w:t>Interior &amp; Façade</w:t>
            </w:r>
          </w:p>
        </w:tc>
      </w:tr>
      <w:tr w:rsidR="006D7687" w:rsidRPr="00860B0A" w14:paraId="0D93B904"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52E1349F" w14:textId="77777777" w:rsidR="006D7687" w:rsidRPr="00875B6A" w:rsidRDefault="006D7687" w:rsidP="00B3479E">
            <w:pPr>
              <w:widowControl w:val="0"/>
              <w:tabs>
                <w:tab w:val="num" w:pos="567"/>
              </w:tabs>
              <w:spacing w:before="60" w:after="60"/>
              <w:jc w:val="center"/>
              <w:rPr>
                <w:rFonts w:ascii="Times New Roman" w:hAnsi="Times New Roman"/>
                <w:snapToGrid/>
                <w:sz w:val="22"/>
                <w:szCs w:val="22"/>
              </w:rPr>
            </w:pPr>
            <w:r w:rsidRPr="00875B6A">
              <w:rPr>
                <w:rFonts w:ascii="Times New Roman" w:hAnsi="Times New Roman"/>
                <w:snapToGrid/>
                <w:sz w:val="22"/>
                <w:szCs w:val="22"/>
              </w:rPr>
              <w:t>Lot 2</w:t>
            </w:r>
          </w:p>
        </w:tc>
        <w:tc>
          <w:tcPr>
            <w:tcW w:w="6548" w:type="dxa"/>
            <w:tcBorders>
              <w:top w:val="single" w:sz="4" w:space="0" w:color="auto"/>
              <w:left w:val="single" w:sz="4" w:space="0" w:color="auto"/>
              <w:bottom w:val="single" w:sz="4" w:space="0" w:color="auto"/>
              <w:right w:val="single" w:sz="4" w:space="0" w:color="auto"/>
            </w:tcBorders>
          </w:tcPr>
          <w:p w14:paraId="24ACA070" w14:textId="77777777" w:rsidR="006D7687" w:rsidRPr="00860B0A" w:rsidRDefault="006D7687" w:rsidP="00B3479E">
            <w:pPr>
              <w:snapToGrid w:val="0"/>
              <w:spacing w:after="100" w:afterAutospacing="1"/>
              <w:jc w:val="center"/>
              <w:rPr>
                <w:rFonts w:ascii="Times New Roman" w:eastAsia="Calibri" w:hAnsi="Times New Roman"/>
                <w:b/>
                <w:bCs/>
                <w:sz w:val="24"/>
                <w:szCs w:val="24"/>
                <w:lang w:val="en-US"/>
              </w:rPr>
            </w:pPr>
            <w:r w:rsidRPr="00AC599B">
              <w:rPr>
                <w:rFonts w:ascii="Times New Roman" w:hAnsi="Times New Roman"/>
                <w:sz w:val="24"/>
                <w:szCs w:val="24"/>
              </w:rPr>
              <w:t>Concrete &amp; Gravel</w:t>
            </w:r>
          </w:p>
        </w:tc>
      </w:tr>
      <w:tr w:rsidR="006D7687" w:rsidRPr="00860B0A" w14:paraId="1072B6A3"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772D7723" w14:textId="77777777" w:rsidR="006D7687" w:rsidRPr="00875B6A" w:rsidRDefault="006D7687" w:rsidP="00B3479E">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3</w:t>
            </w:r>
          </w:p>
        </w:tc>
        <w:tc>
          <w:tcPr>
            <w:tcW w:w="6548" w:type="dxa"/>
            <w:tcBorders>
              <w:top w:val="single" w:sz="4" w:space="0" w:color="auto"/>
              <w:left w:val="single" w:sz="4" w:space="0" w:color="auto"/>
              <w:bottom w:val="single" w:sz="4" w:space="0" w:color="auto"/>
              <w:right w:val="single" w:sz="4" w:space="0" w:color="auto"/>
            </w:tcBorders>
          </w:tcPr>
          <w:p w14:paraId="26406BC2" w14:textId="77777777" w:rsidR="006D7687" w:rsidRPr="00860B0A" w:rsidRDefault="006D7687" w:rsidP="00B3479E">
            <w:pPr>
              <w:snapToGrid w:val="0"/>
              <w:spacing w:after="100" w:afterAutospacing="1"/>
              <w:jc w:val="center"/>
              <w:rPr>
                <w:rFonts w:ascii="Times New Roman" w:eastAsia="Calibri" w:hAnsi="Times New Roman"/>
                <w:sz w:val="24"/>
                <w:szCs w:val="24"/>
              </w:rPr>
            </w:pPr>
            <w:r w:rsidRPr="00AC599B">
              <w:rPr>
                <w:rFonts w:ascii="Times New Roman" w:hAnsi="Times New Roman"/>
                <w:sz w:val="24"/>
                <w:szCs w:val="24"/>
              </w:rPr>
              <w:t>Doors &amp; Windows</w:t>
            </w:r>
          </w:p>
        </w:tc>
      </w:tr>
      <w:tr w:rsidR="006D7687" w:rsidRPr="00860B0A" w14:paraId="28BF0438"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1BD557CB" w14:textId="77777777" w:rsidR="006D7687" w:rsidRDefault="006D7687" w:rsidP="00B3479E">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4</w:t>
            </w:r>
          </w:p>
        </w:tc>
        <w:tc>
          <w:tcPr>
            <w:tcW w:w="6548" w:type="dxa"/>
            <w:tcBorders>
              <w:top w:val="single" w:sz="4" w:space="0" w:color="auto"/>
              <w:left w:val="single" w:sz="4" w:space="0" w:color="auto"/>
              <w:bottom w:val="single" w:sz="4" w:space="0" w:color="auto"/>
              <w:right w:val="single" w:sz="4" w:space="0" w:color="auto"/>
            </w:tcBorders>
          </w:tcPr>
          <w:p w14:paraId="6295D2A6" w14:textId="77777777" w:rsidR="006D7687" w:rsidRPr="00860B0A" w:rsidRDefault="006D7687" w:rsidP="00B3479E">
            <w:pPr>
              <w:snapToGrid w:val="0"/>
              <w:spacing w:after="100" w:afterAutospacing="1"/>
              <w:jc w:val="center"/>
              <w:rPr>
                <w:rFonts w:ascii="Times New Roman" w:eastAsia="Calibri" w:hAnsi="Times New Roman"/>
                <w:sz w:val="24"/>
                <w:szCs w:val="24"/>
              </w:rPr>
            </w:pPr>
            <w:r w:rsidRPr="0034612F">
              <w:rPr>
                <w:rFonts w:ascii="Times New Roman" w:hAnsi="Times New Roman"/>
                <w:sz w:val="24"/>
                <w:szCs w:val="24"/>
              </w:rPr>
              <w:t>Wood</w:t>
            </w:r>
          </w:p>
        </w:tc>
      </w:tr>
      <w:tr w:rsidR="006D7687" w:rsidRPr="0034612F" w14:paraId="06F08888"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4311B0FC" w14:textId="77777777" w:rsidR="006D7687" w:rsidRDefault="006D7687" w:rsidP="00B3479E">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5</w:t>
            </w:r>
          </w:p>
        </w:tc>
        <w:tc>
          <w:tcPr>
            <w:tcW w:w="6548" w:type="dxa"/>
            <w:tcBorders>
              <w:top w:val="single" w:sz="4" w:space="0" w:color="auto"/>
              <w:left w:val="single" w:sz="4" w:space="0" w:color="auto"/>
              <w:bottom w:val="single" w:sz="4" w:space="0" w:color="auto"/>
              <w:right w:val="single" w:sz="4" w:space="0" w:color="auto"/>
            </w:tcBorders>
          </w:tcPr>
          <w:p w14:paraId="18BF88D1" w14:textId="77777777" w:rsidR="006D7687" w:rsidRPr="0034612F" w:rsidRDefault="006D7687" w:rsidP="00B3479E">
            <w:pPr>
              <w:snapToGrid w:val="0"/>
              <w:spacing w:after="100" w:afterAutospacing="1"/>
              <w:jc w:val="center"/>
              <w:rPr>
                <w:rFonts w:ascii="Times New Roman" w:hAnsi="Times New Roman"/>
                <w:sz w:val="24"/>
                <w:szCs w:val="24"/>
              </w:rPr>
            </w:pPr>
            <w:r w:rsidRPr="008E2B75">
              <w:rPr>
                <w:rFonts w:ascii="Times New Roman" w:hAnsi="Times New Roman"/>
                <w:sz w:val="24"/>
                <w:szCs w:val="24"/>
              </w:rPr>
              <w:t>Plumbing</w:t>
            </w:r>
          </w:p>
        </w:tc>
      </w:tr>
      <w:tr w:rsidR="006D7687" w:rsidRPr="0034612F" w14:paraId="78264003" w14:textId="77777777" w:rsidTr="00B3479E">
        <w:tc>
          <w:tcPr>
            <w:tcW w:w="1674" w:type="dxa"/>
            <w:tcBorders>
              <w:top w:val="single" w:sz="4" w:space="0" w:color="auto"/>
              <w:left w:val="single" w:sz="4" w:space="0" w:color="auto"/>
              <w:bottom w:val="single" w:sz="4" w:space="0" w:color="auto"/>
              <w:right w:val="single" w:sz="4" w:space="0" w:color="auto"/>
            </w:tcBorders>
            <w:vAlign w:val="center"/>
          </w:tcPr>
          <w:p w14:paraId="54B26B46" w14:textId="77777777" w:rsidR="006D7687" w:rsidRDefault="006D7687" w:rsidP="00B3479E">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6</w:t>
            </w:r>
          </w:p>
        </w:tc>
        <w:tc>
          <w:tcPr>
            <w:tcW w:w="6548" w:type="dxa"/>
            <w:tcBorders>
              <w:top w:val="single" w:sz="4" w:space="0" w:color="auto"/>
              <w:left w:val="single" w:sz="4" w:space="0" w:color="auto"/>
              <w:bottom w:val="single" w:sz="4" w:space="0" w:color="auto"/>
              <w:right w:val="single" w:sz="4" w:space="0" w:color="auto"/>
            </w:tcBorders>
          </w:tcPr>
          <w:p w14:paraId="5BCA3A2A" w14:textId="77777777" w:rsidR="006D7687" w:rsidRPr="0034612F" w:rsidRDefault="006D7687" w:rsidP="00B3479E">
            <w:pPr>
              <w:snapToGrid w:val="0"/>
              <w:spacing w:after="100" w:afterAutospacing="1"/>
              <w:jc w:val="center"/>
              <w:rPr>
                <w:rFonts w:ascii="Times New Roman" w:hAnsi="Times New Roman"/>
                <w:sz w:val="24"/>
                <w:szCs w:val="24"/>
              </w:rPr>
            </w:pPr>
            <w:r w:rsidRPr="008E2B75">
              <w:rPr>
                <w:rFonts w:ascii="Times New Roman" w:hAnsi="Times New Roman"/>
                <w:sz w:val="24"/>
                <w:szCs w:val="24"/>
              </w:rPr>
              <w:t>Electrical</w:t>
            </w:r>
          </w:p>
        </w:tc>
      </w:tr>
    </w:tbl>
    <w:p w14:paraId="52FAC82A" w14:textId="06D3F563" w:rsidR="00233848" w:rsidRPr="00233848" w:rsidRDefault="00233848" w:rsidP="00844AAF">
      <w:pPr>
        <w:autoSpaceDE w:val="0"/>
        <w:autoSpaceDN w:val="0"/>
        <w:adjustRightInd w:val="0"/>
        <w:spacing w:before="0"/>
        <w:jc w:val="both"/>
        <w:rPr>
          <w:rFonts w:ascii="Times New Roman" w:hAnsi="Times New Roman"/>
          <w:snapToGrid/>
          <w:color w:val="000000"/>
          <w:sz w:val="24"/>
          <w:szCs w:val="24"/>
          <w:lang w:val="en-GB" w:eastAsia="fr-BE"/>
        </w:rPr>
      </w:pPr>
    </w:p>
    <w:p w14:paraId="4F5C6F5F" w14:textId="2CD2C379" w:rsid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56CA71A9" w14:textId="77777777" w:rsidR="006D7687" w:rsidRDefault="006D7687" w:rsidP="00844AAF">
      <w:pPr>
        <w:spacing w:before="0" w:after="240"/>
        <w:jc w:val="both"/>
        <w:rPr>
          <w:rFonts w:ascii="Times New Roman" w:hAnsi="Times New Roman"/>
          <w:snapToGrid/>
          <w:color w:val="000000"/>
          <w:sz w:val="24"/>
          <w:szCs w:val="24"/>
          <w:lang w:val="en-GB" w:eastAsia="fr-BE"/>
        </w:rPr>
      </w:pPr>
    </w:p>
    <w:p w14:paraId="0D385381" w14:textId="77777777" w:rsidR="006D7687" w:rsidRPr="00233848" w:rsidRDefault="006D7687" w:rsidP="00844AAF">
      <w:pPr>
        <w:spacing w:before="0" w:after="240"/>
        <w:jc w:val="both"/>
        <w:rPr>
          <w:rFonts w:ascii="Times New Roman" w:hAnsi="Times New Roman"/>
          <w:snapToGrid/>
          <w:color w:val="000000"/>
          <w:sz w:val="24"/>
          <w:szCs w:val="24"/>
          <w:lang w:val="en-GB" w:eastAsia="fr-BE"/>
        </w:rPr>
      </w:pP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lastRenderedPageBreak/>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741C8598" w:rsidR="00233848" w:rsidRPr="003A2DA6" w:rsidRDefault="00233848" w:rsidP="00844AAF">
      <w:pPr>
        <w:autoSpaceDE w:val="0"/>
        <w:autoSpaceDN w:val="0"/>
        <w:adjustRightInd w:val="0"/>
        <w:spacing w:before="0" w:after="240"/>
        <w:jc w:val="both"/>
        <w:rPr>
          <w:rFonts w:ascii="Times New Roman" w:hAnsi="Times New Roman"/>
          <w:snapToGrid/>
          <w:sz w:val="22"/>
          <w:szCs w:val="22"/>
          <w:lang w:val="en-GB" w:eastAsia="en-GB"/>
        </w:rPr>
      </w:pPr>
      <w:r w:rsidRPr="003A2DA6">
        <w:rPr>
          <w:rFonts w:ascii="Times New Roman" w:hAnsi="Times New Roman"/>
          <w:snapToGrid/>
          <w:color w:val="000000"/>
          <w:sz w:val="22"/>
          <w:szCs w:val="22"/>
          <w:lang w:val="en-GB" w:eastAsia="fr-BE"/>
        </w:rPr>
        <w:t xml:space="preserve">The maximum amount </w:t>
      </w:r>
      <w:r w:rsidRPr="003A2DA6">
        <w:rPr>
          <w:rFonts w:ascii="Times New Roman" w:hAnsi="Times New Roman"/>
          <w:snapToGrid/>
          <w:color w:val="000000"/>
          <w:sz w:val="22"/>
          <w:szCs w:val="22"/>
          <w:shd w:val="clear" w:color="auto" w:fill="FFFFFF"/>
          <w:lang w:val="en-GB" w:eastAsia="en-GB"/>
        </w:rPr>
        <w:t>covering all purchases under this</w:t>
      </w:r>
      <w:r w:rsidRPr="003A2DA6">
        <w:rPr>
          <w:rFonts w:ascii="Times New Roman" w:hAnsi="Times New Roman"/>
          <w:snapToGrid/>
          <w:color w:val="000000"/>
          <w:sz w:val="22"/>
          <w:szCs w:val="22"/>
          <w:lang w:val="en-GB" w:eastAsia="fr-BE"/>
        </w:rPr>
        <w:t xml:space="preserve"> contract is </w:t>
      </w:r>
      <w:r w:rsidR="006D7687" w:rsidRPr="003A2DA6">
        <w:rPr>
          <w:rFonts w:ascii="Times New Roman" w:hAnsi="Times New Roman"/>
          <w:snapToGrid/>
          <w:color w:val="000000"/>
          <w:sz w:val="22"/>
          <w:szCs w:val="22"/>
          <w:highlight w:val="yellow"/>
          <w:lang w:val="en-GB" w:eastAsia="fr-BE"/>
        </w:rPr>
        <w:t>……….</w:t>
      </w:r>
      <w:r w:rsidR="006D7687" w:rsidRPr="003A2DA6">
        <w:rPr>
          <w:rFonts w:ascii="Times New Roman" w:hAnsi="Times New Roman"/>
          <w:snapToGrid/>
          <w:sz w:val="22"/>
          <w:szCs w:val="22"/>
          <w:lang w:val="en-GB" w:eastAsia="en-GB"/>
        </w:rPr>
        <w:t xml:space="preserve"> Euro</w:t>
      </w:r>
      <w:r w:rsidR="00824673" w:rsidRPr="003A2DA6">
        <w:rPr>
          <w:rFonts w:ascii="Times New Roman" w:hAnsi="Times New Roman"/>
          <w:snapToGrid/>
          <w:sz w:val="22"/>
          <w:szCs w:val="22"/>
          <w:lang w:val="en-GB" w:eastAsia="en-GB"/>
        </w:rPr>
        <w:t>.</w:t>
      </w:r>
    </w:p>
    <w:p w14:paraId="1C285334" w14:textId="21E2DA79" w:rsidR="00824673" w:rsidRPr="00544603" w:rsidRDefault="00824673" w:rsidP="00824673">
      <w:pPr>
        <w:autoSpaceDE w:val="0"/>
        <w:autoSpaceDN w:val="0"/>
        <w:adjustRightInd w:val="0"/>
        <w:spacing w:before="0"/>
        <w:jc w:val="both"/>
        <w:rPr>
          <w:rFonts w:ascii="Times New Roman" w:hAnsi="Times New Roman"/>
          <w:snapToGrid/>
          <w:color w:val="000000"/>
          <w:sz w:val="22"/>
          <w:szCs w:val="22"/>
          <w:lang w:val="en-GB" w:eastAsia="fr-BE"/>
        </w:rPr>
      </w:pPr>
      <w:r w:rsidRPr="00544603">
        <w:rPr>
          <w:rFonts w:ascii="Times New Roman" w:hAnsi="Times New Roman"/>
          <w:snapToGrid/>
          <w:color w:val="000000"/>
          <w:sz w:val="22"/>
          <w:szCs w:val="22"/>
          <w:lang w:val="en-GB" w:eastAsia="fr-BE"/>
        </w:rPr>
        <w:t xml:space="preserve">The unit prices referred to in </w:t>
      </w:r>
      <w:r w:rsidR="00C036DF" w:rsidRPr="00544603">
        <w:rPr>
          <w:rFonts w:ascii="Times New Roman" w:hAnsi="Times New Roman"/>
          <w:snapToGrid/>
          <w:color w:val="000000"/>
          <w:sz w:val="22"/>
          <w:szCs w:val="22"/>
          <w:lang w:val="en-GB" w:eastAsia="fr-BE"/>
        </w:rPr>
        <w:t>Annex IV (Bu</w:t>
      </w:r>
      <w:r w:rsidR="00F73D26" w:rsidRPr="00544603">
        <w:rPr>
          <w:rFonts w:ascii="Times New Roman" w:hAnsi="Times New Roman"/>
          <w:snapToGrid/>
          <w:color w:val="000000"/>
          <w:sz w:val="22"/>
          <w:szCs w:val="22"/>
          <w:lang w:val="en-GB" w:eastAsia="fr-BE"/>
        </w:rPr>
        <w:t>dget Breakdown)</w:t>
      </w:r>
      <w:r w:rsidRPr="00544603">
        <w:rPr>
          <w:rFonts w:ascii="Times New Roman" w:hAnsi="Times New Roman"/>
          <w:snapToGrid/>
          <w:color w:val="000000"/>
          <w:sz w:val="22"/>
          <w:szCs w:val="22"/>
          <w:lang w:val="en-GB" w:eastAsia="fr-BE"/>
        </w:rPr>
        <w:t xml:space="preserve"> shall be the sole remuneration owed by the Contracting Authority to the Contractor under the framework contract. The unit prices for Lots 1, 2, 3, 4 (items not related to copper) shall be firm and shall not be subject to revision for orders placed during the performance of the framework contract.</w:t>
      </w:r>
    </w:p>
    <w:p w14:paraId="520CAB5C" w14:textId="6AA8FB81" w:rsidR="00824673" w:rsidRPr="003A2DA6" w:rsidRDefault="00824673" w:rsidP="00824673">
      <w:pPr>
        <w:autoSpaceDE w:val="0"/>
        <w:autoSpaceDN w:val="0"/>
        <w:adjustRightInd w:val="0"/>
        <w:spacing w:before="0"/>
        <w:jc w:val="both"/>
        <w:rPr>
          <w:rFonts w:ascii="Times New Roman" w:hAnsi="Times New Roman"/>
          <w:snapToGrid/>
          <w:color w:val="000000"/>
          <w:sz w:val="22"/>
          <w:szCs w:val="22"/>
          <w:lang w:val="en-GB" w:eastAsia="fr-BE"/>
        </w:rPr>
      </w:pPr>
      <w:r w:rsidRPr="00544603">
        <w:rPr>
          <w:rFonts w:ascii="Times New Roman" w:hAnsi="Times New Roman"/>
          <w:snapToGrid/>
          <w:color w:val="000000"/>
          <w:sz w:val="22"/>
          <w:szCs w:val="22"/>
          <w:lang w:val="en-GB" w:eastAsia="fr-BE"/>
        </w:rPr>
        <w:t xml:space="preserve">The prices for </w:t>
      </w:r>
      <w:r w:rsidRPr="00544603">
        <w:rPr>
          <w:rFonts w:ascii="Times New Roman" w:hAnsi="Times New Roman"/>
          <w:b/>
          <w:bCs/>
          <w:snapToGrid/>
          <w:color w:val="000000"/>
          <w:sz w:val="22"/>
          <w:szCs w:val="22"/>
          <w:lang w:val="en-GB" w:eastAsia="fr-BE"/>
        </w:rPr>
        <w:t>Lot 5 and Lot 6</w:t>
      </w:r>
      <w:r w:rsidRPr="00544603">
        <w:rPr>
          <w:rFonts w:ascii="Times New Roman" w:hAnsi="Times New Roman"/>
          <w:snapToGrid/>
          <w:color w:val="000000"/>
          <w:sz w:val="22"/>
          <w:szCs w:val="22"/>
          <w:lang w:val="en-GB" w:eastAsia="fr-BE"/>
        </w:rPr>
        <w:t xml:space="preserve"> (items related to copper) will be fixed according to the daily official cash buy prices index indicated in the LME copper, cash buy, as published on </w:t>
      </w:r>
      <w:hyperlink r:id="rId8" w:history="1">
        <w:r w:rsidRPr="00544603">
          <w:rPr>
            <w:rFonts w:ascii="Times New Roman" w:hAnsi="Times New Roman"/>
            <w:snapToGrid/>
            <w:color w:val="000000"/>
            <w:sz w:val="22"/>
            <w:szCs w:val="22"/>
            <w:lang w:val="en-GB" w:eastAsia="fr-BE"/>
          </w:rPr>
          <w:t>www.lme.com</w:t>
        </w:r>
      </w:hyperlink>
      <w:r w:rsidRPr="00544603">
        <w:rPr>
          <w:rFonts w:ascii="Times New Roman" w:hAnsi="Times New Roman"/>
          <w:snapToGrid/>
          <w:color w:val="000000"/>
          <w:sz w:val="22"/>
          <w:szCs w:val="22"/>
          <w:lang w:val="en-GB" w:eastAsia="fr-BE"/>
        </w:rPr>
        <w:t xml:space="preserve"> as stipulated in Article 26 of the Special Conditions.</w:t>
      </w:r>
    </w:p>
    <w:p w14:paraId="3AE2717B" w14:textId="77777777" w:rsidR="00824673" w:rsidRPr="00233848" w:rsidRDefault="00824673" w:rsidP="00844AAF">
      <w:pPr>
        <w:autoSpaceDE w:val="0"/>
        <w:autoSpaceDN w:val="0"/>
        <w:adjustRightInd w:val="0"/>
        <w:spacing w:before="0" w:after="240"/>
        <w:jc w:val="both"/>
        <w:rPr>
          <w:rFonts w:ascii="Times New Roman" w:hAnsi="Times New Roman"/>
          <w:snapToGrid/>
          <w:color w:val="000000"/>
          <w:sz w:val="24"/>
          <w:szCs w:val="24"/>
          <w:lang w:val="en-GB" w:eastAsia="fr-BE"/>
        </w:rPr>
      </w:pP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6D96435D" w14:textId="5F4C407E" w:rsidR="006D7687" w:rsidRPr="006D7687" w:rsidRDefault="006D7687" w:rsidP="006D7687">
      <w:pPr>
        <w:autoSpaceDE w:val="0"/>
        <w:autoSpaceDN w:val="0"/>
        <w:adjustRightInd w:val="0"/>
        <w:spacing w:after="0"/>
        <w:jc w:val="both"/>
        <w:rPr>
          <w:rFonts w:ascii="Times New Roman" w:hAnsi="Times New Roman"/>
          <w:color w:val="000000"/>
          <w:sz w:val="22"/>
          <w:szCs w:val="22"/>
        </w:rPr>
      </w:pPr>
      <w:r w:rsidRPr="006D7687">
        <w:rPr>
          <w:rFonts w:ascii="Times New Roman" w:hAnsi="Times New Roman"/>
          <w:color w:val="000000"/>
          <w:sz w:val="22"/>
          <w:szCs w:val="22"/>
        </w:rPr>
        <w:t xml:space="preserve">The framework contract shall be concluded for a period of </w:t>
      </w:r>
      <w:r w:rsidRPr="006D7687">
        <w:rPr>
          <w:rFonts w:ascii="Times New Roman" w:hAnsi="Times New Roman"/>
          <w:b/>
          <w:color w:val="000000"/>
          <w:sz w:val="22"/>
          <w:szCs w:val="22"/>
        </w:rPr>
        <w:t>24 months</w:t>
      </w:r>
      <w:r w:rsidRPr="006D7687">
        <w:rPr>
          <w:rFonts w:ascii="Times New Roman" w:hAnsi="Times New Roman"/>
          <w:color w:val="000000"/>
          <w:sz w:val="22"/>
          <w:szCs w:val="22"/>
        </w:rPr>
        <w:t xml:space="preserve"> with effect on the date on which it enters into force, although the Framework contract may be terminated at short notice</w:t>
      </w:r>
      <w:r>
        <w:rPr>
          <w:rFonts w:ascii="Times New Roman" w:hAnsi="Times New Roman"/>
          <w:color w:val="000000"/>
          <w:sz w:val="22"/>
          <w:szCs w:val="22"/>
        </w:rPr>
        <w:t xml:space="preserve"> </w:t>
      </w:r>
      <w:r w:rsidRPr="006D7687">
        <w:rPr>
          <w:rFonts w:ascii="Times New Roman" w:hAnsi="Times New Roman"/>
          <w:color w:val="000000"/>
          <w:sz w:val="22"/>
          <w:szCs w:val="22"/>
        </w:rPr>
        <w:t>(</w:t>
      </w:r>
      <w:r w:rsidRPr="00D96293">
        <w:rPr>
          <w:rFonts w:ascii="Times New Roman" w:hAnsi="Times New Roman"/>
          <w:snapToGrid/>
          <w:color w:val="000000"/>
          <w:sz w:val="24"/>
          <w:szCs w:val="24"/>
          <w:lang w:val="en-GB" w:eastAsia="fr-BE"/>
        </w:rPr>
        <w:t>although the Framework contract may be terminated at short notice</w:t>
      </w:r>
      <w:r w:rsidRPr="006D7687">
        <w:rPr>
          <w:rFonts w:ascii="Times New Roman" w:hAnsi="Times New Roman"/>
          <w:color w:val="000000"/>
          <w:sz w:val="22"/>
          <w:szCs w:val="22"/>
        </w:rPr>
        <w:t xml:space="preserve">). </w:t>
      </w:r>
    </w:p>
    <w:p w14:paraId="524326DC" w14:textId="73E32F30"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08125E6C" w14:textId="77777777" w:rsidR="006D7687" w:rsidRPr="00901620" w:rsidRDefault="006D7687" w:rsidP="006D7687">
      <w:pPr>
        <w:spacing w:before="0" w:after="0"/>
        <w:jc w:val="both"/>
        <w:textAlignment w:val="baseline"/>
        <w:rPr>
          <w:rFonts w:ascii="Times New Roman" w:hAnsi="Times New Roman"/>
          <w:b/>
          <w:bCs/>
          <w:snapToGrid/>
          <w:color w:val="000000"/>
          <w:sz w:val="24"/>
          <w:szCs w:val="24"/>
          <w:lang w:val="en-GB" w:eastAsia="fr-BE"/>
        </w:rPr>
      </w:pPr>
      <w:r w:rsidRPr="00901620">
        <w:rPr>
          <w:rFonts w:ascii="Times New Roman" w:hAnsi="Times New Roman"/>
          <w:b/>
          <w:bCs/>
          <w:snapToGrid/>
          <w:color w:val="000000"/>
          <w:sz w:val="24"/>
          <w:szCs w:val="24"/>
          <w:lang w:val="en-GB" w:eastAsia="fr-BE"/>
        </w:rPr>
        <w:t>Signatures</w:t>
      </w:r>
    </w:p>
    <w:p w14:paraId="43BD11B4" w14:textId="77777777" w:rsidR="006D7687" w:rsidRPr="00901620" w:rsidRDefault="006D7687" w:rsidP="006D7687">
      <w:pPr>
        <w:spacing w:before="0" w:after="0"/>
        <w:textAlignment w:val="baseline"/>
        <w:rPr>
          <w:rFonts w:ascii="Times New Roman" w:hAnsi="Times New Roman" w:cs="Arial"/>
          <w:b/>
          <w:bCs/>
          <w:smallCaps/>
          <w:snapToGrid/>
          <w:sz w:val="24"/>
          <w:szCs w:val="24"/>
          <w:highlight w:val="green"/>
          <w:u w:val="single"/>
          <w:lang w:val="en-GB" w:eastAsia="en-GB"/>
        </w:rPr>
      </w:pPr>
    </w:p>
    <w:tbl>
      <w:tblPr>
        <w:tblStyle w:val="TableGrid"/>
        <w:tblW w:w="9146" w:type="dxa"/>
        <w:tblInd w:w="0" w:type="dxa"/>
        <w:tblLook w:val="04A0" w:firstRow="1" w:lastRow="0" w:firstColumn="1" w:lastColumn="0" w:noHBand="0" w:noVBand="1"/>
      </w:tblPr>
      <w:tblGrid>
        <w:gridCol w:w="2173"/>
        <w:gridCol w:w="2400"/>
        <w:gridCol w:w="1448"/>
        <w:gridCol w:w="3125"/>
      </w:tblGrid>
      <w:tr w:rsidR="006D7687" w:rsidRPr="00901620" w14:paraId="19742F7D" w14:textId="77777777" w:rsidTr="00B3479E">
        <w:trPr>
          <w:trHeight w:val="466"/>
        </w:trPr>
        <w:tc>
          <w:tcPr>
            <w:tcW w:w="4573" w:type="dxa"/>
            <w:gridSpan w:val="2"/>
            <w:vAlign w:val="center"/>
          </w:tcPr>
          <w:p w14:paraId="475CF045"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b/>
                <w:sz w:val="24"/>
                <w:szCs w:val="22"/>
                <w:lang w:val="en-US"/>
              </w:rPr>
              <w:t>For the Contractor</w:t>
            </w:r>
          </w:p>
        </w:tc>
        <w:tc>
          <w:tcPr>
            <w:tcW w:w="4573" w:type="dxa"/>
            <w:gridSpan w:val="2"/>
            <w:vAlign w:val="center"/>
          </w:tcPr>
          <w:p w14:paraId="537A64A7"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b/>
                <w:sz w:val="24"/>
                <w:szCs w:val="22"/>
                <w:lang w:val="en-US"/>
              </w:rPr>
              <w:t>For the Contracting Authority</w:t>
            </w:r>
          </w:p>
        </w:tc>
      </w:tr>
      <w:tr w:rsidR="006D7687" w:rsidRPr="00901620" w14:paraId="041B6680" w14:textId="77777777" w:rsidTr="00B3479E">
        <w:trPr>
          <w:trHeight w:val="447"/>
        </w:trPr>
        <w:tc>
          <w:tcPr>
            <w:tcW w:w="2173" w:type="dxa"/>
            <w:vAlign w:val="center"/>
          </w:tcPr>
          <w:p w14:paraId="194E9991"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Name:</w:t>
            </w:r>
          </w:p>
        </w:tc>
        <w:tc>
          <w:tcPr>
            <w:tcW w:w="2400" w:type="dxa"/>
            <w:vAlign w:val="center"/>
          </w:tcPr>
          <w:p w14:paraId="77660A44"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20A4D48E"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Name:</w:t>
            </w:r>
          </w:p>
        </w:tc>
        <w:tc>
          <w:tcPr>
            <w:tcW w:w="3125" w:type="dxa"/>
            <w:vAlign w:val="center"/>
          </w:tcPr>
          <w:p w14:paraId="6E7B1D2E" w14:textId="5EF215CA" w:rsidR="006D7687" w:rsidRPr="006D7687" w:rsidRDefault="006D7687" w:rsidP="006D7687">
            <w:pPr>
              <w:spacing w:before="0" w:after="0" w:line="276" w:lineRule="auto"/>
              <w:jc w:val="center"/>
              <w:textAlignment w:val="baseline"/>
              <w:rPr>
                <w:rFonts w:ascii="Times New Roman" w:hAnsi="Times New Roman"/>
                <w:b/>
                <w:bCs/>
                <w:snapToGrid/>
                <w:color w:val="000000"/>
                <w:sz w:val="22"/>
                <w:szCs w:val="22"/>
                <w:lang w:val="en-GB" w:eastAsia="fr-BE"/>
              </w:rPr>
            </w:pPr>
            <w:r w:rsidRPr="006D7687">
              <w:rPr>
                <w:rFonts w:ascii="Times New Roman" w:hAnsi="Times New Roman"/>
                <w:b/>
                <w:bCs/>
                <w:sz w:val="22"/>
                <w:szCs w:val="22"/>
              </w:rPr>
              <w:t>Giovanni Pietro Barbano</w:t>
            </w:r>
          </w:p>
        </w:tc>
      </w:tr>
      <w:tr w:rsidR="006D7687" w:rsidRPr="0047191A" w14:paraId="6EF8AEE6" w14:textId="77777777" w:rsidTr="00B3479E">
        <w:trPr>
          <w:trHeight w:val="551"/>
        </w:trPr>
        <w:tc>
          <w:tcPr>
            <w:tcW w:w="2173" w:type="dxa"/>
            <w:vAlign w:val="center"/>
          </w:tcPr>
          <w:p w14:paraId="2A37E87C" w14:textId="77777777" w:rsidR="006D7687" w:rsidRPr="00901620" w:rsidRDefault="006D7687" w:rsidP="00B3479E">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Title:</w:t>
            </w:r>
          </w:p>
        </w:tc>
        <w:tc>
          <w:tcPr>
            <w:tcW w:w="2400" w:type="dxa"/>
            <w:vAlign w:val="center"/>
          </w:tcPr>
          <w:p w14:paraId="3DDEA86D"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21F02D19"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Title:</w:t>
            </w:r>
          </w:p>
        </w:tc>
        <w:tc>
          <w:tcPr>
            <w:tcW w:w="3125" w:type="dxa"/>
            <w:vAlign w:val="center"/>
          </w:tcPr>
          <w:p w14:paraId="0B1204CE" w14:textId="1C9BFFEA" w:rsidR="006D7687" w:rsidRPr="006D7687" w:rsidRDefault="006D7687" w:rsidP="006D7687">
            <w:pPr>
              <w:jc w:val="center"/>
              <w:rPr>
                <w:rFonts w:ascii="Times New Roman" w:hAnsi="Times New Roman"/>
                <w:sz w:val="22"/>
                <w:szCs w:val="22"/>
              </w:rPr>
            </w:pPr>
            <w:r w:rsidRPr="006D7687">
              <w:rPr>
                <w:rFonts w:ascii="Times New Roman" w:hAnsi="Times New Roman"/>
                <w:sz w:val="22"/>
                <w:szCs w:val="22"/>
              </w:rPr>
              <w:t>Head of Mission</w:t>
            </w:r>
          </w:p>
          <w:p w14:paraId="15FEE736" w14:textId="4D4F149F" w:rsidR="006D7687" w:rsidRPr="006D7687" w:rsidRDefault="006D7687" w:rsidP="006D7687">
            <w:pPr>
              <w:spacing w:before="0" w:after="0" w:line="276" w:lineRule="auto"/>
              <w:jc w:val="center"/>
              <w:textAlignment w:val="baseline"/>
              <w:rPr>
                <w:rFonts w:ascii="Times New Roman" w:hAnsi="Times New Roman"/>
                <w:b/>
                <w:bCs/>
                <w:snapToGrid/>
                <w:color w:val="000000"/>
                <w:sz w:val="22"/>
                <w:szCs w:val="22"/>
                <w:lang w:val="en-GB" w:eastAsia="fr-BE"/>
              </w:rPr>
            </w:pPr>
            <w:r w:rsidRPr="006D7687">
              <w:rPr>
                <w:rFonts w:ascii="Times New Roman" w:hAnsi="Times New Roman"/>
                <w:sz w:val="22"/>
                <w:szCs w:val="22"/>
              </w:rPr>
              <w:t>EULEX Kosovo</w:t>
            </w:r>
          </w:p>
        </w:tc>
      </w:tr>
      <w:tr w:rsidR="006D7687" w:rsidRPr="00901620" w14:paraId="7BE5B29B" w14:textId="77777777" w:rsidTr="00B3479E">
        <w:trPr>
          <w:trHeight w:val="730"/>
        </w:trPr>
        <w:tc>
          <w:tcPr>
            <w:tcW w:w="2173" w:type="dxa"/>
            <w:vAlign w:val="center"/>
          </w:tcPr>
          <w:p w14:paraId="555A94CE" w14:textId="77777777" w:rsidR="006D7687" w:rsidRPr="00901620" w:rsidRDefault="006D7687" w:rsidP="00B3479E">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Signature:</w:t>
            </w:r>
          </w:p>
        </w:tc>
        <w:tc>
          <w:tcPr>
            <w:tcW w:w="2400" w:type="dxa"/>
            <w:vAlign w:val="center"/>
          </w:tcPr>
          <w:p w14:paraId="0F0B885E"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487B3658"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r w:rsidRPr="00901620">
              <w:rPr>
                <w:rFonts w:ascii="Times New Roman" w:hAnsi="Times New Roman"/>
                <w:sz w:val="24"/>
                <w:szCs w:val="22"/>
                <w:lang w:val="en-US"/>
              </w:rPr>
              <w:t>Signature:</w:t>
            </w:r>
          </w:p>
        </w:tc>
        <w:tc>
          <w:tcPr>
            <w:tcW w:w="3125" w:type="dxa"/>
            <w:vAlign w:val="center"/>
          </w:tcPr>
          <w:p w14:paraId="39E0B0A6" w14:textId="77777777" w:rsidR="006D7687" w:rsidRPr="006D7687" w:rsidRDefault="006D7687" w:rsidP="006D7687">
            <w:pPr>
              <w:spacing w:before="0" w:after="0" w:line="276" w:lineRule="auto"/>
              <w:jc w:val="center"/>
              <w:textAlignment w:val="baseline"/>
              <w:rPr>
                <w:rFonts w:ascii="Times New Roman" w:hAnsi="Times New Roman"/>
                <w:b/>
                <w:bCs/>
                <w:snapToGrid/>
                <w:color w:val="000000"/>
                <w:sz w:val="22"/>
                <w:szCs w:val="22"/>
                <w:lang w:val="en-GB" w:eastAsia="fr-BE"/>
              </w:rPr>
            </w:pPr>
          </w:p>
        </w:tc>
      </w:tr>
      <w:tr w:rsidR="006D7687" w:rsidRPr="00901620" w14:paraId="3C837DE4" w14:textId="77777777" w:rsidTr="00B3479E">
        <w:trPr>
          <w:trHeight w:val="447"/>
        </w:trPr>
        <w:tc>
          <w:tcPr>
            <w:tcW w:w="2173" w:type="dxa"/>
            <w:vAlign w:val="center"/>
          </w:tcPr>
          <w:p w14:paraId="3601F080" w14:textId="77777777" w:rsidR="006D7687" w:rsidRPr="00901620" w:rsidRDefault="006D7687" w:rsidP="00B3479E">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Date:</w:t>
            </w:r>
          </w:p>
        </w:tc>
        <w:tc>
          <w:tcPr>
            <w:tcW w:w="2400" w:type="dxa"/>
            <w:vAlign w:val="center"/>
          </w:tcPr>
          <w:p w14:paraId="037432A6"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c>
          <w:tcPr>
            <w:tcW w:w="1448" w:type="dxa"/>
            <w:vAlign w:val="center"/>
          </w:tcPr>
          <w:p w14:paraId="1BC7BD1C" w14:textId="77777777" w:rsidR="006D7687" w:rsidRPr="00901620" w:rsidRDefault="006D7687" w:rsidP="00B3479E">
            <w:pPr>
              <w:spacing w:before="0" w:after="0" w:line="276" w:lineRule="auto"/>
              <w:jc w:val="center"/>
              <w:textAlignment w:val="baseline"/>
              <w:rPr>
                <w:rFonts w:ascii="Times New Roman" w:hAnsi="Times New Roman"/>
                <w:sz w:val="24"/>
                <w:szCs w:val="22"/>
                <w:lang w:val="en-US"/>
              </w:rPr>
            </w:pPr>
            <w:r w:rsidRPr="00901620">
              <w:rPr>
                <w:rFonts w:ascii="Times New Roman" w:hAnsi="Times New Roman"/>
                <w:sz w:val="24"/>
                <w:szCs w:val="22"/>
                <w:lang w:val="en-US"/>
              </w:rPr>
              <w:t>Date:</w:t>
            </w:r>
          </w:p>
        </w:tc>
        <w:tc>
          <w:tcPr>
            <w:tcW w:w="3125" w:type="dxa"/>
            <w:vAlign w:val="center"/>
          </w:tcPr>
          <w:p w14:paraId="58AE947E" w14:textId="77777777" w:rsidR="006D7687" w:rsidRPr="00901620" w:rsidRDefault="006D7687" w:rsidP="00B3479E">
            <w:pPr>
              <w:spacing w:before="0" w:after="0" w:line="276" w:lineRule="auto"/>
              <w:jc w:val="center"/>
              <w:textAlignment w:val="baseline"/>
              <w:rPr>
                <w:rFonts w:ascii="Times New Roman" w:hAnsi="Times New Roman"/>
                <w:b/>
                <w:bCs/>
                <w:snapToGrid/>
                <w:color w:val="000000"/>
                <w:sz w:val="24"/>
                <w:szCs w:val="24"/>
                <w:lang w:val="en-GB" w:eastAsia="fr-BE"/>
              </w:rPr>
            </w:pPr>
          </w:p>
        </w:tc>
      </w:tr>
    </w:tbl>
    <w:p w14:paraId="1B815EAF" w14:textId="77777777" w:rsidR="006D7687" w:rsidRPr="00901620" w:rsidRDefault="006D7687" w:rsidP="006D7687">
      <w:pPr>
        <w:spacing w:before="0" w:after="60"/>
        <w:jc w:val="both"/>
        <w:rPr>
          <w:rFonts w:ascii="Times New Roman" w:hAnsi="Times New Roman"/>
          <w:snapToGrid/>
          <w:color w:val="000000"/>
          <w:sz w:val="24"/>
          <w:szCs w:val="24"/>
          <w:lang w:val="en-GB" w:eastAsia="fr-BE"/>
        </w:rPr>
      </w:pPr>
    </w:p>
    <w:p w14:paraId="4D1A24A8" w14:textId="77777777" w:rsidR="006D7687" w:rsidRPr="00901620" w:rsidRDefault="006D7687" w:rsidP="006D7687">
      <w:pPr>
        <w:spacing w:before="0" w:after="240"/>
        <w:ind w:left="142" w:hanging="142"/>
        <w:jc w:val="both"/>
        <w:rPr>
          <w:rFonts w:ascii="Times New Roman" w:hAnsi="Times New Roman"/>
          <w:snapToGrid/>
          <w:sz w:val="24"/>
          <w:lang w:val="en-GB" w:eastAsia="en-GB"/>
        </w:rPr>
      </w:pPr>
    </w:p>
    <w:p w14:paraId="3D7F511C" w14:textId="77777777" w:rsidR="00233848" w:rsidRPr="00233848" w:rsidRDefault="00233848" w:rsidP="002B6469">
      <w:pPr>
        <w:rPr>
          <w:lang w:val="en-GB"/>
        </w:rPr>
      </w:pPr>
    </w:p>
    <w:sectPr w:rsidR="00233848" w:rsidRPr="00233848" w:rsidSect="00F73348">
      <w:footerReference w:type="default" r:id="rId9"/>
      <w:footerReference w:type="first" r:id="rId10"/>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0E611" w14:textId="77777777" w:rsidR="00DB15ED" w:rsidRDefault="00DB15ED">
      <w:r>
        <w:separator/>
      </w:r>
    </w:p>
    <w:p w14:paraId="3566EC73" w14:textId="77777777" w:rsidR="00DB15ED" w:rsidRDefault="00DB15ED"/>
  </w:endnote>
  <w:endnote w:type="continuationSeparator" w:id="0">
    <w:p w14:paraId="6705510E" w14:textId="77777777" w:rsidR="00DB15ED" w:rsidRDefault="00DB15ED">
      <w:r>
        <w:continuationSeparator/>
      </w:r>
    </w:p>
    <w:p w14:paraId="52037B33" w14:textId="77777777" w:rsidR="00DB15ED" w:rsidRDefault="00DB1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EA0ED" w14:textId="77777777" w:rsidR="00DB15ED" w:rsidRDefault="00DB15ED" w:rsidP="008056C4">
      <w:pPr>
        <w:spacing w:before="0" w:after="0"/>
      </w:pPr>
      <w:r>
        <w:separator/>
      </w:r>
    </w:p>
  </w:footnote>
  <w:footnote w:type="continuationSeparator" w:id="0">
    <w:p w14:paraId="7B794BD6" w14:textId="77777777" w:rsidR="00DB15ED" w:rsidRDefault="00DB15ED">
      <w:r>
        <w:continuationSeparator/>
      </w:r>
    </w:p>
    <w:p w14:paraId="775F3A2A" w14:textId="77777777" w:rsidR="00DB15ED" w:rsidRDefault="00DB15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1946525">
    <w:abstractNumId w:val="8"/>
  </w:num>
  <w:num w:numId="2" w16cid:durableId="1261378491">
    <w:abstractNumId w:val="34"/>
  </w:num>
  <w:num w:numId="3" w16cid:durableId="1720981452">
    <w:abstractNumId w:val="7"/>
  </w:num>
  <w:num w:numId="4" w16cid:durableId="192159666">
    <w:abstractNumId w:val="27"/>
  </w:num>
  <w:num w:numId="5" w16cid:durableId="1214005522">
    <w:abstractNumId w:val="23"/>
  </w:num>
  <w:num w:numId="6" w16cid:durableId="2105952147">
    <w:abstractNumId w:val="17"/>
  </w:num>
  <w:num w:numId="7" w16cid:durableId="524289268">
    <w:abstractNumId w:val="15"/>
  </w:num>
  <w:num w:numId="8" w16cid:durableId="1779565760">
    <w:abstractNumId w:val="22"/>
  </w:num>
  <w:num w:numId="9" w16cid:durableId="826018155">
    <w:abstractNumId w:val="41"/>
  </w:num>
  <w:num w:numId="10" w16cid:durableId="382368885">
    <w:abstractNumId w:val="11"/>
  </w:num>
  <w:num w:numId="11" w16cid:durableId="561447163">
    <w:abstractNumId w:val="12"/>
  </w:num>
  <w:num w:numId="12" w16cid:durableId="1586062845">
    <w:abstractNumId w:val="13"/>
  </w:num>
  <w:num w:numId="13" w16cid:durableId="1000161406">
    <w:abstractNumId w:val="26"/>
  </w:num>
  <w:num w:numId="14" w16cid:durableId="1414159630">
    <w:abstractNumId w:val="31"/>
  </w:num>
  <w:num w:numId="15" w16cid:durableId="1495537002">
    <w:abstractNumId w:val="36"/>
  </w:num>
  <w:num w:numId="16" w16cid:durableId="165094692">
    <w:abstractNumId w:val="9"/>
  </w:num>
  <w:num w:numId="17" w16cid:durableId="1787508104">
    <w:abstractNumId w:val="21"/>
  </w:num>
  <w:num w:numId="18" w16cid:durableId="1371538147">
    <w:abstractNumId w:val="25"/>
  </w:num>
  <w:num w:numId="19" w16cid:durableId="1348486502">
    <w:abstractNumId w:val="30"/>
  </w:num>
  <w:num w:numId="20" w16cid:durableId="607586083">
    <w:abstractNumId w:val="10"/>
  </w:num>
  <w:num w:numId="21" w16cid:durableId="1292975301">
    <w:abstractNumId w:val="24"/>
  </w:num>
  <w:num w:numId="22" w16cid:durableId="2082825271">
    <w:abstractNumId w:val="14"/>
  </w:num>
  <w:num w:numId="23" w16cid:durableId="667564779">
    <w:abstractNumId w:val="16"/>
  </w:num>
  <w:num w:numId="24" w16cid:durableId="1775441902">
    <w:abstractNumId w:val="33"/>
  </w:num>
  <w:num w:numId="25" w16cid:durableId="1304501977">
    <w:abstractNumId w:val="20"/>
  </w:num>
  <w:num w:numId="26" w16cid:durableId="1444154698">
    <w:abstractNumId w:val="18"/>
  </w:num>
  <w:num w:numId="27" w16cid:durableId="1666670293">
    <w:abstractNumId w:val="37"/>
  </w:num>
  <w:num w:numId="28" w16cid:durableId="188035300">
    <w:abstractNumId w:val="38"/>
  </w:num>
  <w:num w:numId="29" w16cid:durableId="806362799">
    <w:abstractNumId w:val="2"/>
  </w:num>
  <w:num w:numId="30" w16cid:durableId="1774591860">
    <w:abstractNumId w:val="32"/>
  </w:num>
  <w:num w:numId="31" w16cid:durableId="193084115">
    <w:abstractNumId w:val="28"/>
  </w:num>
  <w:num w:numId="32" w16cid:durableId="547036075">
    <w:abstractNumId w:val="5"/>
  </w:num>
  <w:num w:numId="33" w16cid:durableId="588538835">
    <w:abstractNumId w:val="6"/>
  </w:num>
  <w:num w:numId="34" w16cid:durableId="1933277641">
    <w:abstractNumId w:val="3"/>
  </w:num>
  <w:num w:numId="35" w16cid:durableId="800922443">
    <w:abstractNumId w:val="1"/>
  </w:num>
  <w:num w:numId="36" w16cid:durableId="256403542">
    <w:abstractNumId w:val="29"/>
  </w:num>
  <w:num w:numId="37" w16cid:durableId="2000227689">
    <w:abstractNumId w:val="40"/>
  </w:num>
  <w:num w:numId="38" w16cid:durableId="213401125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87143673">
    <w:abstractNumId w:val="39"/>
  </w:num>
  <w:num w:numId="40" w16cid:durableId="1904952021">
    <w:abstractNumId w:val="19"/>
  </w:num>
  <w:num w:numId="41" w16cid:durableId="136139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44F90"/>
    <w:rsid w:val="0025580D"/>
    <w:rsid w:val="002560BB"/>
    <w:rsid w:val="002561C8"/>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A6"/>
    <w:rsid w:val="003A2DB5"/>
    <w:rsid w:val="003A4EB0"/>
    <w:rsid w:val="003A701E"/>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4603"/>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D7687"/>
    <w:rsid w:val="006E56FD"/>
    <w:rsid w:val="006E6880"/>
    <w:rsid w:val="006F5A0D"/>
    <w:rsid w:val="006F73F2"/>
    <w:rsid w:val="00711C72"/>
    <w:rsid w:val="00716DE7"/>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24673"/>
    <w:rsid w:val="008422D4"/>
    <w:rsid w:val="00844AAF"/>
    <w:rsid w:val="008517AF"/>
    <w:rsid w:val="00853F9D"/>
    <w:rsid w:val="0085667F"/>
    <w:rsid w:val="008617F3"/>
    <w:rsid w:val="00862142"/>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36DF"/>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E4B79"/>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B15ED"/>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1F8A"/>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58F3"/>
    <w:rsid w:val="00F73348"/>
    <w:rsid w:val="00F73D26"/>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link w:val="ListParagraphChar"/>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basedOn w:val="CommentText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 w:type="character" w:customStyle="1" w:styleId="ListParagraphChar">
    <w:name w:val="List Paragraph Char"/>
    <w:link w:val="ListParagraph"/>
    <w:uiPriority w:val="34"/>
    <w:rsid w:val="006D768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m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447</Words>
  <Characters>2333</Characters>
  <Application>Microsoft Office Word</Application>
  <DocSecurity>0</DocSecurity>
  <Lines>86</Lines>
  <Paragraphs>50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2736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Adelina Morina-Sylaj</cp:lastModifiedBy>
  <cp:revision>6</cp:revision>
  <cp:lastPrinted>2012-10-22T09:58:00Z</cp:lastPrinted>
  <dcterms:created xsi:type="dcterms:W3CDTF">2025-06-24T07:49:00Z</dcterms:created>
  <dcterms:modified xsi:type="dcterms:W3CDTF">2025-10-21T07:47:00Z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